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3F3DF4D7" w:rsidR="008E26AE" w:rsidRPr="00B65FFB" w:rsidRDefault="00B65FFB" w:rsidP="008E26AE">
            <w:pPr>
              <w:spacing w:after="0" w:line="240" w:lineRule="auto"/>
              <w:rPr>
                <w:rFonts w:ascii="Times New Roman" w:hAnsi="Times New Roman"/>
                <w:sz w:val="24"/>
                <w:szCs w:val="24"/>
              </w:rPr>
            </w:pPr>
            <w:r w:rsidRPr="00B65FFB">
              <w:rPr>
                <w:rFonts w:ascii="Times New Roman" w:hAnsi="Times New Roman"/>
                <w:sz w:val="24"/>
                <w:szCs w:val="24"/>
              </w:rPr>
              <w:t>Chimie</w:t>
            </w:r>
          </w:p>
          <w:p w14:paraId="4C474332" w14:textId="64CF80DB" w:rsidR="00A64778" w:rsidRPr="001D0D74" w:rsidRDefault="00B65FFB" w:rsidP="008E26AE">
            <w:pPr>
              <w:spacing w:after="0" w:line="240" w:lineRule="auto"/>
              <w:rPr>
                <w:rFonts w:ascii="Times New Roman" w:hAnsi="Times New Roman"/>
                <w:sz w:val="24"/>
                <w:szCs w:val="24"/>
                <w:highlight w:val="yellow"/>
              </w:rPr>
            </w:pPr>
            <w:r w:rsidRPr="00B65FFB">
              <w:rPr>
                <w:rStyle w:val="Emphasis"/>
                <w:rFonts w:ascii="Times New Roman" w:hAnsi="Times New Roman"/>
                <w:i w:val="0"/>
                <w:iCs w:val="0"/>
                <w:color w:val="9BBB59" w:themeColor="accent3"/>
                <w:sz w:val="24"/>
                <w:szCs w:val="24"/>
              </w:rPr>
              <w:t>Chimie</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0600385A"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w:t>
            </w:r>
            <w:r w:rsidR="00B65FFB">
              <w:rPr>
                <w:rFonts w:ascii="Times New Roman" w:hAnsi="Times New Roman"/>
                <w:sz w:val="24"/>
                <w:szCs w:val="24"/>
              </w:rPr>
              <w:t>C</w:t>
            </w:r>
            <w:r>
              <w:rPr>
                <w:rFonts w:ascii="Times New Roman" w:hAnsi="Times New Roman"/>
                <w:sz w:val="24"/>
                <w:szCs w:val="24"/>
              </w:rPr>
              <w:t>.</w:t>
            </w:r>
            <w:r w:rsidR="00A64778">
              <w:rPr>
                <w:rFonts w:ascii="Times New Roman" w:hAnsi="Times New Roman"/>
                <w:sz w:val="24"/>
                <w:szCs w:val="24"/>
              </w:rPr>
              <w:t>0</w:t>
            </w:r>
            <w:r>
              <w:rPr>
                <w:rFonts w:ascii="Times New Roman" w:hAnsi="Times New Roman"/>
                <w:sz w:val="24"/>
                <w:szCs w:val="24"/>
              </w:rPr>
              <w:t>1.I.Ob.0</w:t>
            </w:r>
            <w:r w:rsidR="00FC0A07">
              <w:rPr>
                <w:rFonts w:ascii="Times New Roman" w:hAnsi="Times New Roman"/>
                <w:sz w:val="24"/>
                <w:szCs w:val="24"/>
              </w:rPr>
              <w:t>4</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774B" w14:textId="77777777" w:rsidR="00F91BB3" w:rsidRDefault="00F91BB3" w:rsidP="006B0230">
      <w:pPr>
        <w:spacing w:after="0" w:line="240" w:lineRule="auto"/>
      </w:pPr>
      <w:r>
        <w:separator/>
      </w:r>
    </w:p>
  </w:endnote>
  <w:endnote w:type="continuationSeparator" w:id="0">
    <w:p w14:paraId="742F2B06" w14:textId="77777777" w:rsidR="00F91BB3" w:rsidRDefault="00F91BB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D758" w14:textId="77777777" w:rsidR="00F91BB3" w:rsidRDefault="00F91BB3" w:rsidP="006B0230">
      <w:pPr>
        <w:spacing w:after="0" w:line="240" w:lineRule="auto"/>
      </w:pPr>
      <w:r>
        <w:separator/>
      </w:r>
    </w:p>
  </w:footnote>
  <w:footnote w:type="continuationSeparator" w:id="0">
    <w:p w14:paraId="263BB928" w14:textId="77777777" w:rsidR="00F91BB3" w:rsidRDefault="00F91BB3"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D0D74"/>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03A46"/>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2968"/>
    <w:rsid w:val="00B53C95"/>
    <w:rsid w:val="00B54B49"/>
    <w:rsid w:val="00B559AB"/>
    <w:rsid w:val="00B609FA"/>
    <w:rsid w:val="00B657DC"/>
    <w:rsid w:val="00B65FFB"/>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1BB3"/>
    <w:rsid w:val="00F9613F"/>
    <w:rsid w:val="00F972C4"/>
    <w:rsid w:val="00FA037A"/>
    <w:rsid w:val="00FA0ADD"/>
    <w:rsid w:val="00FA52D0"/>
    <w:rsid w:val="00FA53B9"/>
    <w:rsid w:val="00FB4ADB"/>
    <w:rsid w:val="00FB55B0"/>
    <w:rsid w:val="00FB608B"/>
    <w:rsid w:val="00FB6888"/>
    <w:rsid w:val="00FB7977"/>
    <w:rsid w:val="00FC0A0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2</cp:revision>
  <cp:lastPrinted>2026-01-27T09:16:00Z</cp:lastPrinted>
  <dcterms:created xsi:type="dcterms:W3CDTF">2026-03-04T14:33:00Z</dcterms:created>
  <dcterms:modified xsi:type="dcterms:W3CDTF">2026-03-04T14:33:00Z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